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82D" w:rsidRPr="00BE7118" w:rsidRDefault="00A838A8">
      <w:pPr>
        <w:pStyle w:val="Tytu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>HISTORIA – KLASA VI</w:t>
      </w:r>
    </w:p>
    <w:p w:rsidR="001C082D" w:rsidRPr="00BE7118" w:rsidRDefault="00A83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>WYMAGANIA EDUKACYJNE NA POSZCZEGÓLNE OCENY</w:t>
      </w:r>
    </w:p>
    <w:p w:rsidR="001C082D" w:rsidRPr="00BE7118" w:rsidRDefault="00A83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>ROK SZKOLNY 2026/2027</w:t>
      </w:r>
    </w:p>
    <w:p w:rsidR="001C082D" w:rsidRPr="00BE7118" w:rsidRDefault="00A83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Opracowano zgodnie z podstawą programową kształcenia ogólnego obowiązującą od 1 września 2026 r.</w:t>
      </w:r>
    </w:p>
    <w:p w:rsidR="001C082D" w:rsidRPr="00BE7118" w:rsidRDefault="00A838A8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>Zasady interpretacji poziomów ocen</w:t>
      </w:r>
    </w:p>
    <w:p w:rsidR="001C082D" w:rsidRPr="00BE7118" w:rsidRDefault="00A838A8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 xml:space="preserve">Dopuszczająca (2): </w:t>
      </w:r>
      <w:r w:rsidRPr="00BE7118">
        <w:rPr>
          <w:rFonts w:ascii="Times New Roman" w:hAnsi="Times New Roman" w:cs="Times New Roman"/>
          <w:sz w:val="24"/>
          <w:szCs w:val="24"/>
        </w:rPr>
        <w:t>uczeń opanował wiadomości i umiejętności elementarne, rozpoznaje podstawowe pojęcia, osoby, miejsca i wydarzenia oraz wykonuje proste zadania z pomocą nauczyciela.</w:t>
      </w:r>
    </w:p>
    <w:p w:rsidR="001C082D" w:rsidRPr="00BE7118" w:rsidRDefault="00A838A8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 xml:space="preserve">Dostateczna (3): </w:t>
      </w:r>
      <w:r w:rsidRPr="00BE7118">
        <w:rPr>
          <w:rFonts w:ascii="Times New Roman" w:hAnsi="Times New Roman" w:cs="Times New Roman"/>
          <w:sz w:val="24"/>
          <w:szCs w:val="24"/>
        </w:rPr>
        <w:t>uczeń samodzielnie odtwarza podstawowe treści, wyjaśnia najważniejsze pojęcia i związki oraz korzysta z prostych map, osi czasu i źródeł.</w:t>
      </w:r>
    </w:p>
    <w:p w:rsidR="001C082D" w:rsidRPr="00BE7118" w:rsidRDefault="00A838A8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 xml:space="preserve">Dobra (4): </w:t>
      </w:r>
      <w:r w:rsidRPr="00BE7118">
        <w:rPr>
          <w:rFonts w:ascii="Times New Roman" w:hAnsi="Times New Roman" w:cs="Times New Roman"/>
          <w:sz w:val="24"/>
          <w:szCs w:val="24"/>
        </w:rPr>
        <w:t>uczeń poprawnie stosuje wiedzę w nowych zadaniach, analizuje proste źródła, wyjaśnia przyczyny i skutki oraz porównuje zjawiska historyczne.</w:t>
      </w:r>
    </w:p>
    <w:p w:rsidR="001C082D" w:rsidRPr="00BE7118" w:rsidRDefault="00A838A8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 xml:space="preserve">Bardzo dobra (5): </w:t>
      </w:r>
      <w:r w:rsidRPr="00BE7118">
        <w:rPr>
          <w:rFonts w:ascii="Times New Roman" w:hAnsi="Times New Roman" w:cs="Times New Roman"/>
          <w:sz w:val="24"/>
          <w:szCs w:val="24"/>
        </w:rPr>
        <w:t>uczeń swobodnie łączy wiadomości, interpretuje źródła, formułuje wnioski, uzasadnia stanowisko i dostrzega szersze związki między przeszłością a współczesnością.</w:t>
      </w:r>
    </w:p>
    <w:p w:rsidR="001C082D" w:rsidRPr="00BE7118" w:rsidRDefault="00A838A8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 xml:space="preserve">Celująca (6): </w:t>
      </w:r>
      <w:r w:rsidRPr="00BE7118">
        <w:rPr>
          <w:rFonts w:ascii="Times New Roman" w:hAnsi="Times New Roman" w:cs="Times New Roman"/>
          <w:sz w:val="24"/>
          <w:szCs w:val="24"/>
        </w:rPr>
        <w:t>uczeń twórczo i samodzielnie wykorzystuje wiedzę i źródła, buduje argumentację, dokonuje syntezy i oceny zjawisk; wymagania na ocenę celującą nie są uzależnione od udziału w konkursach ani od treści wykraczających poza program.</w:t>
      </w:r>
    </w:p>
    <w:p w:rsidR="001C082D" w:rsidRPr="00BE7118" w:rsidRDefault="00A838A8">
      <w:pPr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b/>
          <w:sz w:val="24"/>
          <w:szCs w:val="24"/>
        </w:rPr>
        <w:t xml:space="preserve">Pamiętaj: </w:t>
      </w:r>
      <w:r w:rsidRPr="00BE7118">
        <w:rPr>
          <w:rFonts w:ascii="Times New Roman" w:hAnsi="Times New Roman" w:cs="Times New Roman"/>
          <w:sz w:val="24"/>
          <w:szCs w:val="24"/>
        </w:rPr>
        <w:t>wymagania na ocenę wyższą obejmują również wymagania na oceny niższe. Ocenie podlega stopień osiągnięcia wymagań, a nie sam fakt wykonania pojedynczego zadania.</w:t>
      </w:r>
    </w:p>
    <w:p w:rsidR="001C082D" w:rsidRPr="00BE7118" w:rsidRDefault="00A838A8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Wymagania edukacyjne są dostosowywane indywidualnie do psychofizycznych możliwości oraz potrzeb rozwojowych i edukacyjnych ucznia, na podstawie posiadanej przez szkołę dokumentacji (w szczególności: orzeczenia o potrzebie kształcenia specjalnego, opinii poradni psychologiczno-pedagogicznej, w tym poradni specjalistycznej, lub opinii lekarza).</w:t>
      </w:r>
    </w:p>
    <w:p w:rsidR="001C082D" w:rsidRPr="00BE7118" w:rsidRDefault="00A838A8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 przypadku uczniów posiadających orzeczenie o potrzebie kształcenia specjalnego, szczegółowy zakres dostosowań wymagań edukacyjnych oraz formy i metody pracy określa Indywidualny Program Edukacyjno-Terapeutyczny (IPET).</w:t>
      </w:r>
    </w:p>
    <w:p w:rsidR="001C082D" w:rsidRPr="00BE7118" w:rsidRDefault="00A838A8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Nauczyciele poszczególnych przedmiotów realizują dostosowania wymagań edukacyjnych w codziennej pracy z uczniem, uwzględniając zalecenia zawarte w wyżej wymienionej dokumentacji oraz bieżące obserwacje pedagogiczne.</w:t>
      </w:r>
    </w:p>
    <w:p w:rsidR="001C082D" w:rsidRPr="00BE7118" w:rsidRDefault="00A838A8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 xml:space="preserve">I. </w:t>
      </w:r>
      <w:r w:rsidR="00B26638">
        <w:rPr>
          <w:rFonts w:ascii="Times New Roman" w:hAnsi="Times New Roman" w:cs="Times New Roman"/>
          <w:color w:val="auto"/>
          <w:sz w:val="24"/>
          <w:szCs w:val="24"/>
        </w:rPr>
        <w:t>Europa i świat w XVI wieku</w:t>
      </w:r>
    </w:p>
    <w:p w:rsidR="001C082D" w:rsidRPr="00BE7118" w:rsidRDefault="00A838A8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>Wielkie odkrycia geograficzne i przemiany renesansowe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Dopuszczająca (2)</w:t>
      </w:r>
    </w:p>
    <w:p w:rsidR="008775E4" w:rsidRPr="00BE7118" w:rsidRDefault="008775E4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pojęcia: Nowy Świat, Stary Świat, kolonizacja, renesans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podaje datę 1492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lastRenderedPageBreak/>
        <w:t>wskazuje Krzysztofa Kolumba i Jana Gutenberga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Dostateczna (3)</w:t>
      </w:r>
    </w:p>
    <w:p w:rsidR="008775E4" w:rsidRPr="00BE7118" w:rsidRDefault="008775E4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podstawowe przyczyny wypraw dalekomorskich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pojęcia: humanizm, reformacja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porządkuje chronologicznie: wynalezienie druku, wyprawę Kolumba, wystąpienie Lutra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Dobra (4)</w:t>
      </w:r>
    </w:p>
    <w:p w:rsidR="008775E4" w:rsidRPr="00BE7118" w:rsidRDefault="008775E4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przedstawia przyczyny i skutki wypraw odkrywczych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znaczenie druku i przemian światopoglądowych renesansu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porównuje obraz świata Europejczyków z połowy XV i XVI w.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Bardzo dobra (5)</w:t>
      </w:r>
    </w:p>
    <w:p w:rsidR="008775E4" w:rsidRPr="00BE7118" w:rsidRDefault="008775E4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omawia skutki odkryć dla Europy i ludów pozaeuropejskich z uwzględnieniem handlu i niewolnictwa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Celująca (6)</w:t>
      </w:r>
    </w:p>
    <w:p w:rsidR="008775E4" w:rsidRPr="00BE7118" w:rsidRDefault="008775E4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odkrycia z różnych perspektyw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formułuje argumenty dotyczące korzyści i kosztów kolonizacji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łączy rozwój techniki morskiej, handlu i przemian kulturowych</w:t>
      </w:r>
    </w:p>
    <w:p w:rsidR="001C082D" w:rsidRPr="00BE7118" w:rsidRDefault="001C08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082D" w:rsidRPr="00BE7118" w:rsidRDefault="00A838A8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 xml:space="preserve">II. </w:t>
      </w:r>
      <w:r w:rsidR="00B26638">
        <w:rPr>
          <w:rFonts w:ascii="Times New Roman" w:hAnsi="Times New Roman" w:cs="Times New Roman"/>
          <w:color w:val="auto"/>
          <w:sz w:val="24"/>
          <w:szCs w:val="24"/>
        </w:rPr>
        <w:t>Polska w XVI wieku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Dopuszczająca (2)</w:t>
      </w:r>
    </w:p>
    <w:p w:rsidR="008775E4" w:rsidRPr="00BE7118" w:rsidRDefault="008775E4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pojęcia: folwark, pańszczyzna, magnateria, sejm walny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Mikołaja Kopernika, Jana Kochanowskiego i Mikołaja Reja</w:t>
      </w:r>
    </w:p>
    <w:p w:rsidR="00505D4B" w:rsidRPr="00BE7118" w:rsidRDefault="00505D4B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pojęcia: unia realna, Rzeczpospolita Obojga Narodów, wolna elekcja</w:t>
      </w:r>
    </w:p>
    <w:p w:rsidR="00505D4B" w:rsidRPr="00BE7118" w:rsidRDefault="00505D4B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podaje datę 1569</w:t>
      </w:r>
    </w:p>
    <w:p w:rsidR="00505D4B" w:rsidRPr="00BE7118" w:rsidRDefault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Dostateczna (3)</w:t>
      </w:r>
    </w:p>
    <w:p w:rsidR="008775E4" w:rsidRPr="00BE7118" w:rsidRDefault="008775E4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działalność gospodarczą szlachty i rolę spławu rzecznego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wskazuje podstawowe przywileje i znaczenie sejmu</w:t>
      </w:r>
    </w:p>
    <w:p w:rsidR="00505D4B" w:rsidRPr="00BE7118" w:rsidRDefault="00505D4B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wymienia główne postanowienia unii lubelskiej</w:t>
      </w:r>
    </w:p>
    <w:p w:rsidR="00505D4B" w:rsidRPr="00BE7118" w:rsidRDefault="00505D4B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podstawowe zasady wyboru króla</w:t>
      </w:r>
    </w:p>
    <w:p w:rsidR="00505D4B" w:rsidRPr="00BE7118" w:rsidRDefault="00505D4B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lastRenderedPageBreak/>
        <w:t>rozpoznaje konfederację warszawską i artykuły henrykowskie</w:t>
      </w:r>
    </w:p>
    <w:p w:rsidR="00505D4B" w:rsidRPr="00BE7118" w:rsidRDefault="00505D4B" w:rsidP="00505D4B">
      <w:pPr>
        <w:pStyle w:val="Listapunktowana2"/>
        <w:numPr>
          <w:ilvl w:val="0"/>
          <w:numId w:val="0"/>
        </w:numPr>
        <w:spacing w:after="20"/>
        <w:ind w:left="360"/>
        <w:rPr>
          <w:rFonts w:ascii="Times New Roman" w:hAnsi="Times New Roman" w:cs="Times New Roman"/>
          <w:sz w:val="24"/>
          <w:szCs w:val="24"/>
        </w:rPr>
      </w:pP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Dobra (4)</w:t>
      </w:r>
    </w:p>
    <w:p w:rsidR="008775E4" w:rsidRPr="00BE7118" w:rsidRDefault="008775E4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dominującą rolę szlachty oraz wpływ gospodarki folwarcznej na chłopów i mieszczan</w:t>
      </w:r>
    </w:p>
    <w:p w:rsidR="00505D4B" w:rsidRPr="00505D4B" w:rsidRDefault="00A838A8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wie czym był hołd pruski i w jaki sposób wygasła dynastia Jagiellonów</w:t>
      </w:r>
    </w:p>
    <w:p w:rsidR="00505D4B" w:rsidRPr="00BE7118" w:rsidRDefault="00505D4B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przyczyny i skutki unii lubelskiej</w:t>
      </w:r>
    </w:p>
    <w:p w:rsidR="00505D4B" w:rsidRPr="00505D4B" w:rsidRDefault="00505D4B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omawia znaczenie pacta conventa, konfederacji warszawskiej i artykułów henrykowskich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Bardzo dobra (5)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określenie „złoty wiek” z perspektywy różnych grup mieszkańców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cechy renesansu w zabytkach</w:t>
      </w:r>
    </w:p>
    <w:p w:rsidR="00505D4B" w:rsidRPr="00505D4B" w:rsidRDefault="00505D4B" w:rsidP="00505D4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analizuje mapę Rzeczypospolitej, jej położenie geopolityczne oraz zróżnicowanie wyznaniowe i etniczne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Celująca (6)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uzasadnia własną ocenę „złotego wieku”, wykorzystując wiedzę o gospodarce, ustroju i kulturze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analizuje znaczenie dorobku Kopernika, Reja, Kochanowskiego, Gomółki</w:t>
      </w:r>
    </w:p>
    <w:p w:rsidR="00932456" w:rsidRPr="00BE7118" w:rsidRDefault="00932456" w:rsidP="00932456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znaczenie unii i mechanizmu wolnej elekcji z perspektywy różnych grup</w:t>
      </w:r>
    </w:p>
    <w:p w:rsidR="00932456" w:rsidRPr="00BE7118" w:rsidRDefault="00932456" w:rsidP="00932456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argumentuje, w jaki sposób tolerancja wyznaniowa wpływała na państwo</w:t>
      </w:r>
    </w:p>
    <w:p w:rsidR="001C082D" w:rsidRPr="00BE7118" w:rsidRDefault="002F2391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III</w:t>
      </w:r>
      <w:r w:rsidR="00A838A8" w:rsidRPr="00BE711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752DED">
        <w:rPr>
          <w:rFonts w:ascii="Times New Roman" w:hAnsi="Times New Roman" w:cs="Times New Roman"/>
          <w:color w:val="auto"/>
          <w:sz w:val="24"/>
          <w:szCs w:val="24"/>
        </w:rPr>
        <w:t xml:space="preserve">Europa i Polska w </w:t>
      </w:r>
      <w:r w:rsidR="00A838A8" w:rsidRPr="00BE7118">
        <w:rPr>
          <w:rFonts w:ascii="Times New Roman" w:hAnsi="Times New Roman" w:cs="Times New Roman"/>
          <w:color w:val="auto"/>
          <w:sz w:val="24"/>
          <w:szCs w:val="24"/>
        </w:rPr>
        <w:t>XVII</w:t>
      </w:r>
      <w:r w:rsidR="00752DED">
        <w:rPr>
          <w:rFonts w:ascii="Times New Roman" w:hAnsi="Times New Roman" w:cs="Times New Roman"/>
          <w:color w:val="auto"/>
          <w:sz w:val="24"/>
          <w:szCs w:val="24"/>
        </w:rPr>
        <w:t xml:space="preserve"> wieku</w:t>
      </w:r>
    </w:p>
    <w:p w:rsidR="001C082D" w:rsidRPr="00BE7118" w:rsidRDefault="00A838A8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>Wojny Rzeczypospolitej i ich następstwa</w:t>
      </w:r>
      <w:r w:rsidR="008346D9">
        <w:rPr>
          <w:rFonts w:ascii="Times New Roman" w:hAnsi="Times New Roman" w:cs="Times New Roman"/>
          <w:color w:val="auto"/>
          <w:sz w:val="24"/>
          <w:szCs w:val="24"/>
        </w:rPr>
        <w:t>, u</w:t>
      </w:r>
      <w:r w:rsidR="008346D9" w:rsidRPr="00BE7118">
        <w:rPr>
          <w:rFonts w:ascii="Times New Roman" w:hAnsi="Times New Roman" w:cs="Times New Roman"/>
          <w:color w:val="auto"/>
          <w:sz w:val="24"/>
          <w:szCs w:val="24"/>
        </w:rPr>
        <w:t>strój, wolna elekcja i liberum veto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Dopuszczająca (2)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pojęcia i wydarzenia: dymitriady, potop szwedzki, powstanie Chmielnickiego, odsiecz wiedeńska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pojęcia: barok, sarmatyzm, kontusz, portret trumienny</w:t>
      </w:r>
    </w:p>
    <w:p w:rsidR="008346D9" w:rsidRPr="00BE7118" w:rsidRDefault="008346D9" w:rsidP="008346D9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zna pojęcia: magnateria, wolna elekcja, liberum veto</w:t>
      </w:r>
    </w:p>
    <w:p w:rsidR="008346D9" w:rsidRPr="00BE7118" w:rsidRDefault="008346D9" w:rsidP="008346D9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dynastie Jagiellonów, Wazów i Sasów</w:t>
      </w:r>
    </w:p>
    <w:p w:rsidR="008346D9" w:rsidRPr="00BE7118" w:rsidRDefault="008346D9" w:rsidP="008346D9">
      <w:pPr>
        <w:pStyle w:val="Listapunktowana2"/>
        <w:numPr>
          <w:ilvl w:val="0"/>
          <w:numId w:val="0"/>
        </w:numPr>
        <w:spacing w:after="20"/>
        <w:ind w:left="360"/>
        <w:rPr>
          <w:rFonts w:ascii="Times New Roman" w:hAnsi="Times New Roman" w:cs="Times New Roman"/>
          <w:sz w:val="24"/>
          <w:szCs w:val="24"/>
        </w:rPr>
      </w:pP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Dostateczna (3)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wskazuje na mapie główne obszary konfliktów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wybrane wydarzenia wojen XVII w.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podstawowe cechy kultury sarmackiej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przykłady sztuki barokowej</w:t>
      </w:r>
    </w:p>
    <w:p w:rsidR="00A24235" w:rsidRPr="00BE7118" w:rsidRDefault="00A24235" w:rsidP="00A2423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lastRenderedPageBreak/>
        <w:t>wskazuje różnice między pozycją szlachty i magnaterii</w:t>
      </w:r>
    </w:p>
    <w:p w:rsidR="00A24235" w:rsidRPr="00BE7118" w:rsidRDefault="00A24235" w:rsidP="00A2423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porządkuje okresy panowania dynastii Jagiellonów, Wazów i Sasów</w:t>
      </w:r>
    </w:p>
    <w:p w:rsidR="00A24235" w:rsidRPr="00BE7118" w:rsidRDefault="00A24235" w:rsidP="00A24235">
      <w:pPr>
        <w:pStyle w:val="Listapunktowana2"/>
        <w:numPr>
          <w:ilvl w:val="0"/>
          <w:numId w:val="0"/>
        </w:numPr>
        <w:spacing w:after="20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Dobra (4)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główne przyczyny konfliktów oraz ich skutki terytorialne, gospodarcze i społeczne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wskazuje zabytki barokowe w Polsce lub regionie i wyjaśnia ich znaczenie</w:t>
      </w:r>
    </w:p>
    <w:p w:rsidR="00A24235" w:rsidRPr="00A24235" w:rsidRDefault="00A24235" w:rsidP="00A24235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korzyści i zagrożenia wynikające z wolnej elekcji i liberum veto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Bardzo dobra (5)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analizuje mapę strat terytorialnych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wpływ wojen i przemian klimatycznych na gospodarkę, społeczeństwo i system polityczny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porównuje wybrane elementy kultury barokowej i sarmackiej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uzasadnia potrzebę ochrony zabytków</w:t>
      </w:r>
    </w:p>
    <w:p w:rsidR="00A40801" w:rsidRPr="00BE7118" w:rsidRDefault="00A40801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mocne i słabe strony ustroju z perspektywy monarchy oraz przedstawicieli różnych stanów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Celująca (6)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długofalowe następstwa wojen dla państwa i wybranego regionu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łączy procesy militarne, klimatyczne, gospodarcze i polityczne</w:t>
      </w:r>
    </w:p>
    <w:p w:rsidR="00A40801" w:rsidRPr="00A40801" w:rsidRDefault="00A838A8" w:rsidP="00A40801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interpretuje zabytek lub tekst kultury jako źródło wiedzy o epoce i formułuje własną ocenę dziedzictwa sarmatyzmu</w:t>
      </w:r>
    </w:p>
    <w:p w:rsidR="00A40801" w:rsidRPr="00BE7118" w:rsidRDefault="00A40801" w:rsidP="00A40801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analizuje źródła dotyczące życia codziennego i ustroju</w:t>
      </w:r>
    </w:p>
    <w:p w:rsidR="001C082D" w:rsidRPr="00A40801" w:rsidRDefault="00A40801" w:rsidP="00A40801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formułuje ocenę mechanizmów politycznych Rzeczypospolitej</w:t>
      </w:r>
    </w:p>
    <w:p w:rsidR="001C082D" w:rsidRPr="00BE7118" w:rsidRDefault="001C08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082D" w:rsidRPr="00BE7118" w:rsidRDefault="00A838A8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2F2391">
        <w:rPr>
          <w:rFonts w:ascii="Times New Roman" w:hAnsi="Times New Roman" w:cs="Times New Roman"/>
          <w:color w:val="auto"/>
          <w:sz w:val="24"/>
          <w:szCs w:val="24"/>
        </w:rPr>
        <w:t>V</w:t>
      </w:r>
      <w:r w:rsidRPr="00BE711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5F780B">
        <w:rPr>
          <w:rFonts w:ascii="Times New Roman" w:hAnsi="Times New Roman" w:cs="Times New Roman"/>
          <w:color w:val="auto"/>
          <w:sz w:val="24"/>
          <w:szCs w:val="24"/>
        </w:rPr>
        <w:t>Europa I świat w XVIII wieku</w:t>
      </w:r>
    </w:p>
    <w:p w:rsidR="001C082D" w:rsidRPr="00BE7118" w:rsidRDefault="00A838A8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>Idee oświecenia i ich realizacja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Dopuszczająca (2)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pojęcia: oświecenie, trójpodział władzy, umowa społeczna, absolutyzm oświecony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Stanisława Augusta Poniatowskiego</w:t>
      </w:r>
    </w:p>
    <w:p w:rsidR="004E3BF3" w:rsidRPr="00BE7118" w:rsidRDefault="004E3BF3" w:rsidP="004E3BF3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pojęcia: migracje, niewolnictwo, kolonia, imperium</w:t>
      </w:r>
    </w:p>
    <w:p w:rsidR="004E3BF3" w:rsidRPr="004E3BF3" w:rsidRDefault="004E3BF3" w:rsidP="004E3BF3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wskazuje USA, Afrykę i Azję na mapie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Dostateczna (3)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główne idee oświecenia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lastRenderedPageBreak/>
        <w:t>wskazuje przykłady reform w Rzeczypospolitej i Prusach</w:t>
      </w:r>
    </w:p>
    <w:p w:rsidR="004E3BF3" w:rsidRPr="004E3BF3" w:rsidRDefault="004E3BF3" w:rsidP="004E3BF3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rozwój terytorialny USA i podstawowe przyczyny ekspansji kolonialnej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Dobra (4)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porównuje przyczyny i skutki wojny o niepodległość USA i rewolucji francuskiej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znaczenie KEN</w:t>
      </w:r>
    </w:p>
    <w:p w:rsidR="00A553B9" w:rsidRPr="00BE7118" w:rsidRDefault="00A553B9" w:rsidP="00A553B9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skutki kolonializmu dla ludności kolonii i Europejczyków</w:t>
      </w:r>
    </w:p>
    <w:p w:rsidR="00A553B9" w:rsidRPr="00BE7118" w:rsidRDefault="00A553B9" w:rsidP="00A553B9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odczytuje zasięg kolonizacji z map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Bardzo dobra (5)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porównuje realizację idei oświecenia w RP i Prusach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omawia rozwój nauki i kultury</w:t>
      </w:r>
    </w:p>
    <w:p w:rsidR="0020187B" w:rsidRPr="00BE7118" w:rsidRDefault="0020187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analizuje źródła dotyczące postaw wobec ludności rdzennej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Celująca (6)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wpływ idei oświeceniowych na przemiany polityczne i społeczne we Francji i RP</w:t>
      </w:r>
    </w:p>
    <w:p w:rsidR="00C43759" w:rsidRPr="00BE7118" w:rsidRDefault="00C43759" w:rsidP="00C43759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kolonializm z perspektywy ówczesnych i współczesnych systemów wartości, formułując argumenty i kontrargumenty</w:t>
      </w:r>
    </w:p>
    <w:p w:rsidR="00C43759" w:rsidRPr="00BE7118" w:rsidRDefault="00C43759" w:rsidP="00C43759">
      <w:pPr>
        <w:pStyle w:val="Listapunktowana2"/>
        <w:numPr>
          <w:ilvl w:val="0"/>
          <w:numId w:val="0"/>
        </w:numPr>
        <w:spacing w:after="20"/>
        <w:ind w:left="360"/>
        <w:rPr>
          <w:rFonts w:ascii="Times New Roman" w:hAnsi="Times New Roman" w:cs="Times New Roman"/>
          <w:sz w:val="24"/>
          <w:szCs w:val="24"/>
        </w:rPr>
      </w:pPr>
    </w:p>
    <w:p w:rsidR="001C082D" w:rsidRPr="00BE7118" w:rsidRDefault="001C08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082D" w:rsidRPr="00BE7118" w:rsidRDefault="002F2391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A838A8" w:rsidRPr="00BE7118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7F02DE">
        <w:rPr>
          <w:rFonts w:ascii="Times New Roman" w:hAnsi="Times New Roman" w:cs="Times New Roman"/>
          <w:color w:val="auto"/>
          <w:sz w:val="24"/>
          <w:szCs w:val="24"/>
        </w:rPr>
        <w:t>Polska w XVIII wieku</w:t>
      </w:r>
    </w:p>
    <w:p w:rsidR="00FF33DD" w:rsidRPr="00BE7118" w:rsidRDefault="00A838A8" w:rsidP="00FF33DD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BE7118">
        <w:rPr>
          <w:rFonts w:ascii="Times New Roman" w:hAnsi="Times New Roman" w:cs="Times New Roman"/>
          <w:color w:val="auto"/>
          <w:sz w:val="24"/>
          <w:szCs w:val="24"/>
        </w:rPr>
        <w:t>Sejm Wielki, Konstytucja 3 maja i rozbiory</w:t>
      </w:r>
      <w:r w:rsidR="00FF33DD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FF33DD" w:rsidRPr="00BE7118">
        <w:rPr>
          <w:rFonts w:ascii="Times New Roman" w:hAnsi="Times New Roman" w:cs="Times New Roman"/>
          <w:color w:val="auto"/>
          <w:sz w:val="24"/>
          <w:szCs w:val="24"/>
        </w:rPr>
        <w:t>Powstanie kościuszkowskie i upadek państwa</w:t>
      </w:r>
    </w:p>
    <w:p w:rsidR="001C082D" w:rsidRPr="00BE7118" w:rsidRDefault="001C082D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Dopuszczająca (2)</w:t>
      </w:r>
    </w:p>
    <w:p w:rsidR="00FD69AB" w:rsidRPr="00BE7118" w:rsidRDefault="00FD69A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pojęcia: Sejm Wielki, Konstytucja 3 maja, konfederacja targowicka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podaje daty 1772 i 3 maja 1791</w:t>
      </w:r>
    </w:p>
    <w:p w:rsidR="0004272F" w:rsidRPr="00BE7118" w:rsidRDefault="0004272F" w:rsidP="0004272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pojęcia: insurekcja, kosynierzy, Naczelnik Powstania</w:t>
      </w:r>
    </w:p>
    <w:p w:rsidR="0004272F" w:rsidRPr="00BE7118" w:rsidRDefault="0004272F" w:rsidP="0004272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Tadeusza Kościuszkę</w:t>
      </w:r>
    </w:p>
    <w:p w:rsidR="0004272F" w:rsidRPr="0004272F" w:rsidRDefault="0004272F" w:rsidP="0004272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podaje daty 1794 i 1795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Dostateczna (3)</w:t>
      </w:r>
    </w:p>
    <w:p w:rsidR="00DC6013" w:rsidRPr="00BE7118" w:rsidRDefault="00DC6013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porządkuje I i II rozbiór, uchwalenie Konstytucji i konfederację targowicką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wskazuje ziemie utracone na mapie</w:t>
      </w:r>
    </w:p>
    <w:p w:rsidR="0004272F" w:rsidRPr="00BE7118" w:rsidRDefault="0004272F" w:rsidP="0004272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główne wydarzenia powstania</w:t>
      </w:r>
    </w:p>
    <w:p w:rsidR="0004272F" w:rsidRPr="0004272F" w:rsidRDefault="0004272F" w:rsidP="0004272F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lastRenderedPageBreak/>
        <w:t>wskazuje na mapie jego zasięg i III rozbiór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Dobra (4)</w:t>
      </w:r>
    </w:p>
    <w:p w:rsidR="00DC6013" w:rsidRPr="00BE7118" w:rsidRDefault="00DC6013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okoliczności uchwalenia i obalenia Konstytucji 3 maja oraz znaczenie jej reform</w:t>
      </w:r>
    </w:p>
    <w:p w:rsidR="009A3669" w:rsidRPr="00BE7118" w:rsidRDefault="009A3669" w:rsidP="009A3669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specyfikę i skutki insurekcji</w:t>
      </w:r>
    </w:p>
    <w:p w:rsidR="009A3669" w:rsidRPr="009A3669" w:rsidRDefault="009A3669" w:rsidP="009A3669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przedstawia program społeczny powstania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Bardzo dobra (5)</w:t>
      </w:r>
    </w:p>
    <w:p w:rsidR="00DC6013" w:rsidRPr="00BE7118" w:rsidRDefault="00DC6013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wpływ Konstytucji na różne grupy społeczne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współczesne znaczenie święta 3 maja</w:t>
      </w:r>
    </w:p>
    <w:p w:rsidR="00B51773" w:rsidRPr="00BE7118" w:rsidRDefault="00B51773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E7118">
        <w:rPr>
          <w:rFonts w:ascii="Times New Roman" w:hAnsi="Times New Roman" w:cs="Times New Roman"/>
          <w:sz w:val="24"/>
          <w:szCs w:val="24"/>
        </w:rPr>
        <w:t>orównuje postawy różnych grup społecznych wobec powstania i podejmuje próbę ich oceny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Celująca (6)</w:t>
      </w:r>
    </w:p>
    <w:p w:rsidR="00DC6013" w:rsidRPr="00BE7118" w:rsidRDefault="00DC6013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analizuje źródła i współczesne użycia pojęcia „targowica”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formułuje uzasadnioną ocenę trafności takich odwołań</w:t>
      </w:r>
    </w:p>
    <w:p w:rsidR="00CA7C7B" w:rsidRPr="00BE7118" w:rsidRDefault="00CA7C7B" w:rsidP="00CA7C7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znaczenie insurekcji w polskiej pamięci historycznej, wykorzystując źródła i teksty kultury</w:t>
      </w:r>
    </w:p>
    <w:p w:rsidR="00CA7C7B" w:rsidRPr="00BE7118" w:rsidRDefault="00CA7C7B" w:rsidP="00CA7C7B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rozważa alternatywne perspektywy</w:t>
      </w:r>
    </w:p>
    <w:p w:rsidR="001C082D" w:rsidRPr="00BE7118" w:rsidRDefault="001C08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082D" w:rsidRPr="00BE7118" w:rsidRDefault="003E6810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VI. Europa Napoleońska </w:t>
      </w:r>
    </w:p>
    <w:p w:rsidR="001C082D" w:rsidRDefault="00A838A8" w:rsidP="00CA7C7B">
      <w:pPr>
        <w:pStyle w:val="Ocena"/>
        <w:tabs>
          <w:tab w:val="left" w:pos="2610"/>
        </w:tabs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Dopuszczająca (2)</w:t>
      </w:r>
      <w:r w:rsidR="00CA7C7B">
        <w:rPr>
          <w:rFonts w:ascii="Times New Roman" w:hAnsi="Times New Roman" w:cs="Times New Roman"/>
          <w:sz w:val="24"/>
          <w:szCs w:val="24"/>
        </w:rPr>
        <w:tab/>
      </w:r>
    </w:p>
    <w:p w:rsidR="00CA7C7B" w:rsidRPr="00BE7118" w:rsidRDefault="00CA7C7B" w:rsidP="00CA7C7B">
      <w:pPr>
        <w:pStyle w:val="Ocena"/>
        <w:tabs>
          <w:tab w:val="left" w:pos="26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9C054E" w:rsidRDefault="00A838A8" w:rsidP="009C054E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9C054E">
        <w:rPr>
          <w:rFonts w:ascii="Times New Roman" w:hAnsi="Times New Roman" w:cs="Times New Roman"/>
          <w:sz w:val="24"/>
          <w:szCs w:val="24"/>
        </w:rPr>
        <w:t>wyjaśnia pojęcia: Napoleon, cesa</w:t>
      </w:r>
      <w:r w:rsidR="009C054E">
        <w:rPr>
          <w:rFonts w:ascii="Times New Roman" w:hAnsi="Times New Roman" w:cs="Times New Roman"/>
          <w:sz w:val="24"/>
          <w:szCs w:val="24"/>
        </w:rPr>
        <w:t>rz Francuzów, Kodeks Napoleona,</w:t>
      </w:r>
    </w:p>
    <w:p w:rsidR="001C082D" w:rsidRPr="009C054E" w:rsidRDefault="00A838A8" w:rsidP="009C054E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9C054E">
        <w:rPr>
          <w:rFonts w:ascii="Times New Roman" w:hAnsi="Times New Roman" w:cs="Times New Roman"/>
          <w:sz w:val="24"/>
          <w:szCs w:val="24"/>
        </w:rPr>
        <w:t>podaje datę 1815</w:t>
      </w:r>
    </w:p>
    <w:p w:rsidR="003E6810" w:rsidRPr="00BE7118" w:rsidRDefault="003E6810" w:rsidP="003E6810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pojęcia: Legiony Polskie, wojny napoleońskie</w:t>
      </w:r>
    </w:p>
    <w:p w:rsidR="003E6810" w:rsidRPr="003E6810" w:rsidRDefault="003E6810" w:rsidP="003E6810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rozpoznaje J.H. Dąbrowskiego, J. Wybickiego i J. Poniatowskiego</w:t>
      </w: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Dostateczna (3)</w:t>
      </w:r>
    </w:p>
    <w:p w:rsidR="00CA7C7B" w:rsidRPr="00BE7118" w:rsidRDefault="00CA7C7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 xml:space="preserve">opisuje podstawowe zmiany w Europie w epoce napoleońskiej 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wymienia skutki zastosowania maszyny parowej</w:t>
      </w:r>
    </w:p>
    <w:p w:rsidR="003E6810" w:rsidRPr="00BE7118" w:rsidRDefault="003E6810" w:rsidP="003E6810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podaje datę 1807</w:t>
      </w:r>
    </w:p>
    <w:p w:rsidR="003E6810" w:rsidRPr="00BE7118" w:rsidRDefault="003E6810" w:rsidP="003E6810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opisuje podstawowe losy Legionów i Księstwa</w:t>
      </w:r>
    </w:p>
    <w:p w:rsidR="003E6810" w:rsidRPr="00BE7118" w:rsidRDefault="003E6810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Dobra (4)</w:t>
      </w:r>
    </w:p>
    <w:p w:rsidR="00CA7C7B" w:rsidRPr="00BE7118" w:rsidRDefault="00CA7C7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wyjaśnia przyczyny i skutki rewolucji przemysłowej</w:t>
      </w:r>
    </w:p>
    <w:p w:rsidR="006461B0" w:rsidRPr="00BE7118" w:rsidRDefault="006461B0" w:rsidP="006461B0">
      <w:pPr>
        <w:pStyle w:val="Ocena"/>
        <w:rPr>
          <w:rFonts w:ascii="Times New Roman" w:hAnsi="Times New Roman" w:cs="Times New Roman"/>
          <w:sz w:val="24"/>
          <w:szCs w:val="24"/>
        </w:rPr>
      </w:pPr>
    </w:p>
    <w:p w:rsidR="006461B0" w:rsidRPr="00BE7118" w:rsidRDefault="006461B0" w:rsidP="006461B0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lastRenderedPageBreak/>
        <w:t>wyjaśnia znaczenie Legionów w podtrzymywaniu sprawy polskiej</w:t>
      </w:r>
    </w:p>
    <w:p w:rsidR="006461B0" w:rsidRPr="00BE7118" w:rsidRDefault="006461B0" w:rsidP="006461B0">
      <w:pPr>
        <w:pStyle w:val="Listapunktowana2"/>
        <w:numPr>
          <w:ilvl w:val="0"/>
          <w:numId w:val="0"/>
        </w:numPr>
        <w:spacing w:after="20"/>
        <w:ind w:left="720"/>
        <w:rPr>
          <w:rFonts w:ascii="Times New Roman" w:hAnsi="Times New Roman" w:cs="Times New Roman"/>
          <w:sz w:val="24"/>
          <w:szCs w:val="24"/>
        </w:rPr>
      </w:pP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Bardzo dobra (5)</w:t>
      </w:r>
    </w:p>
    <w:p w:rsidR="00CA7C7B" w:rsidRPr="00BE7118" w:rsidRDefault="00CA7C7B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analizuje wpływ uprzemysłowienia i urbanizacji na robotników, kobiety i środowisko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omawia zasady restauracji i legitymizmu</w:t>
      </w:r>
    </w:p>
    <w:p w:rsidR="009C054E" w:rsidRPr="00BE7118" w:rsidRDefault="009C054E" w:rsidP="009C054E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analizuje mapę i źródła dotyczące epoki</w:t>
      </w:r>
    </w:p>
    <w:p w:rsidR="009C054E" w:rsidRPr="00BE7118" w:rsidRDefault="009C054E" w:rsidP="009C054E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wskazuje odwołania historyczne w Mazurku Dąbrowskiego</w:t>
      </w:r>
    </w:p>
    <w:p w:rsidR="009C054E" w:rsidRPr="00BE7118" w:rsidRDefault="009C054E" w:rsidP="009C054E">
      <w:pPr>
        <w:pStyle w:val="Listapunktowana2"/>
        <w:numPr>
          <w:ilvl w:val="0"/>
          <w:numId w:val="0"/>
        </w:numPr>
        <w:spacing w:after="20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1C082D" w:rsidRDefault="00A838A8">
      <w:pPr>
        <w:pStyle w:val="Ocena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Celująca (6)</w:t>
      </w:r>
    </w:p>
    <w:p w:rsidR="00774D2F" w:rsidRPr="00BE7118" w:rsidRDefault="00774D2F">
      <w:pPr>
        <w:pStyle w:val="Ocen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</w:t>
      </w:r>
    </w:p>
    <w:p w:rsidR="001C082D" w:rsidRPr="00BE7118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wpływ epoki napoleońskiej i nowych technologii na życie ludzi</w:t>
      </w:r>
    </w:p>
    <w:p w:rsidR="001C082D" w:rsidRDefault="00A838A8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prowadzi argumentację o nadziejach i obawach związanych z postępem</w:t>
      </w:r>
    </w:p>
    <w:p w:rsidR="009C054E" w:rsidRPr="00BE7118" w:rsidRDefault="009C054E" w:rsidP="009C054E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ocenia znaczenie Legionów dla wspólnoty narodowej</w:t>
      </w:r>
    </w:p>
    <w:p w:rsidR="009C054E" w:rsidRPr="009C054E" w:rsidRDefault="009C054E" w:rsidP="009C054E">
      <w:pPr>
        <w:pStyle w:val="Listapunktowana2"/>
        <w:spacing w:after="20"/>
        <w:rPr>
          <w:rFonts w:ascii="Times New Roman" w:hAnsi="Times New Roman" w:cs="Times New Roman"/>
          <w:sz w:val="24"/>
          <w:szCs w:val="24"/>
        </w:rPr>
      </w:pPr>
      <w:r w:rsidRPr="00BE7118">
        <w:rPr>
          <w:rFonts w:ascii="Times New Roman" w:hAnsi="Times New Roman" w:cs="Times New Roman"/>
          <w:sz w:val="24"/>
          <w:szCs w:val="24"/>
        </w:rPr>
        <w:t>uzasadnia, w jaki sposób pamięć historyczna o epoce napoleońskiej funkcjonuje współcześni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1C082D" w:rsidRPr="00BE7118" w:rsidRDefault="001C08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082D" w:rsidRPr="00BE7118" w:rsidRDefault="001C082D" w:rsidP="006461B0">
      <w:pPr>
        <w:pStyle w:val="Listapunktowana2"/>
        <w:numPr>
          <w:ilvl w:val="0"/>
          <w:numId w:val="0"/>
        </w:numPr>
        <w:spacing w:after="20"/>
        <w:ind w:left="720" w:hanging="360"/>
        <w:rPr>
          <w:rFonts w:ascii="Times New Roman" w:hAnsi="Times New Roman" w:cs="Times New Roman"/>
          <w:sz w:val="24"/>
          <w:szCs w:val="24"/>
        </w:rPr>
      </w:pPr>
    </w:p>
    <w:sectPr w:rsidR="001C082D" w:rsidRPr="00BE7118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41C" w:rsidRDefault="0050341C" w:rsidP="001C082D">
      <w:pPr>
        <w:spacing w:after="0" w:line="240" w:lineRule="auto"/>
      </w:pPr>
      <w:r>
        <w:separator/>
      </w:r>
    </w:p>
  </w:endnote>
  <w:endnote w:type="continuationSeparator" w:id="0">
    <w:p w:rsidR="0050341C" w:rsidRDefault="0050341C" w:rsidP="001C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2D" w:rsidRDefault="00A838A8">
    <w:pPr>
      <w:pStyle w:val="Stopka"/>
      <w:jc w:val="center"/>
    </w:pPr>
    <w:r>
      <w:rPr>
        <w:sz w:val="16"/>
      </w:rPr>
      <w:t>Historia – klasa VI | Wymagania edukacyjne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41C" w:rsidRDefault="0050341C" w:rsidP="001C082D">
      <w:pPr>
        <w:spacing w:after="0" w:line="240" w:lineRule="auto"/>
      </w:pPr>
      <w:r>
        <w:separator/>
      </w:r>
    </w:p>
  </w:footnote>
  <w:footnote w:type="continuationSeparator" w:id="0">
    <w:p w:rsidR="0050341C" w:rsidRDefault="0050341C" w:rsidP="001C0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4272F"/>
    <w:rsid w:val="00045455"/>
    <w:rsid w:val="0006063C"/>
    <w:rsid w:val="00130D01"/>
    <w:rsid w:val="0015074B"/>
    <w:rsid w:val="001C082D"/>
    <w:rsid w:val="0020187B"/>
    <w:rsid w:val="0029639D"/>
    <w:rsid w:val="002F2391"/>
    <w:rsid w:val="00326F90"/>
    <w:rsid w:val="003E6810"/>
    <w:rsid w:val="004E3BF3"/>
    <w:rsid w:val="0050341C"/>
    <w:rsid w:val="00505D4B"/>
    <w:rsid w:val="005C1964"/>
    <w:rsid w:val="005F780B"/>
    <w:rsid w:val="00640047"/>
    <w:rsid w:val="006461B0"/>
    <w:rsid w:val="0069787E"/>
    <w:rsid w:val="00752DED"/>
    <w:rsid w:val="00774D2F"/>
    <w:rsid w:val="007F02DE"/>
    <w:rsid w:val="008346D9"/>
    <w:rsid w:val="008775E4"/>
    <w:rsid w:val="00932456"/>
    <w:rsid w:val="009A3669"/>
    <w:rsid w:val="009C054E"/>
    <w:rsid w:val="00A24235"/>
    <w:rsid w:val="00A40801"/>
    <w:rsid w:val="00A553B9"/>
    <w:rsid w:val="00A838A8"/>
    <w:rsid w:val="00AA1D8D"/>
    <w:rsid w:val="00AC6584"/>
    <w:rsid w:val="00B26638"/>
    <w:rsid w:val="00B47730"/>
    <w:rsid w:val="00B51773"/>
    <w:rsid w:val="00BE7118"/>
    <w:rsid w:val="00BF5E5D"/>
    <w:rsid w:val="00C43759"/>
    <w:rsid w:val="00CA7C7B"/>
    <w:rsid w:val="00CB0664"/>
    <w:rsid w:val="00CB282B"/>
    <w:rsid w:val="00DC6013"/>
    <w:rsid w:val="00FC693F"/>
    <w:rsid w:val="00FD69AB"/>
    <w:rsid w:val="00FF3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cena">
    <w:name w:val="Ocena"/>
    <w:rsid w:val="001C082D"/>
    <w:pPr>
      <w:spacing w:before="120" w:after="40"/>
    </w:pPr>
    <w:rPr>
      <w:rFonts w:ascii="Aptos" w:hAnsi="Aptos"/>
      <w:b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B7919C-65AC-4B9E-BD5A-BE77C0DD5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1368</Words>
  <Characters>8211</Characters>
  <Application>Microsoft Office Word</Application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 Gębarowska-Semla</cp:lastModifiedBy>
  <cp:revision>4</cp:revision>
  <dcterms:created xsi:type="dcterms:W3CDTF">2026-09-02T13:15:00Z</dcterms:created>
  <dcterms:modified xsi:type="dcterms:W3CDTF">2026-09-07T21:53:00Z</dcterms:modified>
</cp:coreProperties>
</file>